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6277BC" w:rsidRDefault="00FF5D17" w:rsidP="001165EE">
      <w:pPr>
        <w:rPr>
          <w:rFonts w:cstheme="minorHAnsi"/>
          <w:lang w:val="en-GB"/>
        </w:rPr>
      </w:pPr>
    </w:p>
    <w:p w:rsidR="006277BC" w:rsidRPr="006277BC" w:rsidRDefault="006277BC" w:rsidP="006277BC">
      <w:pPr>
        <w:pStyle w:val="Naslovplavi"/>
        <w:rPr>
          <w:rFonts w:asciiTheme="minorHAnsi" w:hAnsiTheme="minorHAnsi" w:cstheme="minorHAnsi"/>
          <w:i/>
          <w:lang w:val="en-GB"/>
        </w:rPr>
      </w:pPr>
      <w:r w:rsidRPr="006277BC">
        <w:rPr>
          <w:rFonts w:asciiTheme="minorHAnsi" w:hAnsiTheme="minorHAnsi" w:cstheme="minorHAnsi"/>
          <w:lang w:val="en-GB"/>
        </w:rPr>
        <w:t>Workshop 2 – Problem Based Learning (PBL), Online Quizzes and Logical Tasks</w:t>
      </w:r>
    </w:p>
    <w:p w:rsidR="006277BC" w:rsidRPr="006277BC" w:rsidRDefault="006277BC" w:rsidP="006277BC">
      <w:pPr>
        <w:pStyle w:val="Naslov2"/>
        <w:rPr>
          <w:rFonts w:asciiTheme="minorHAnsi" w:hAnsiTheme="minorHAnsi" w:cstheme="minorHAnsi"/>
        </w:rPr>
      </w:pPr>
      <w:bookmarkStart w:id="0" w:name="_Toc23416544"/>
      <w:r w:rsidRPr="006277BC">
        <w:rPr>
          <w:rFonts w:asciiTheme="minorHAnsi" w:hAnsiTheme="minorHAnsi" w:cstheme="minorHAnsi"/>
        </w:rPr>
        <w:t>Session 2: Problem-solving in logical games</w:t>
      </w:r>
      <w:bookmarkEnd w:id="0"/>
    </w:p>
    <w:p w:rsidR="006277BC" w:rsidRPr="006277BC" w:rsidRDefault="006277BC" w:rsidP="006277BC">
      <w:pPr>
        <w:rPr>
          <w:rFonts w:cstheme="minorHAnsi"/>
          <w:highlight w:val="cyan"/>
          <w:lang w:val="en-GB"/>
        </w:rPr>
      </w:pPr>
    </w:p>
    <w:p w:rsidR="006277BC" w:rsidRPr="006277BC" w:rsidRDefault="006277BC" w:rsidP="006277BC">
      <w:pPr>
        <w:rPr>
          <w:rFonts w:eastAsia="Arial" w:cstheme="minorHAnsi"/>
          <w:b/>
          <w:lang w:val="en-GB"/>
        </w:rPr>
      </w:pPr>
      <w:r w:rsidRPr="006277BC">
        <w:rPr>
          <w:rFonts w:eastAsia="Arial" w:cstheme="minorHAnsi"/>
          <w:b/>
          <w:lang w:val="en-GB"/>
        </w:rPr>
        <w:t>Expected Learning Outcomes</w:t>
      </w:r>
    </w:p>
    <w:p w:rsidR="006277BC" w:rsidRPr="006277BC" w:rsidRDefault="006277BC" w:rsidP="006277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>Understand the process of problem-solving</w:t>
      </w:r>
    </w:p>
    <w:p w:rsidR="006277BC" w:rsidRPr="006277BC" w:rsidRDefault="006277BC" w:rsidP="006277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 xml:space="preserve">Being able to develop the methodology for using problem-solving in role-playing by mutual collaboration </w:t>
      </w:r>
    </w:p>
    <w:p w:rsidR="006277BC" w:rsidRPr="006277BC" w:rsidRDefault="006277BC" w:rsidP="006277BC">
      <w:pPr>
        <w:rPr>
          <w:rFonts w:cstheme="minorHAnsi"/>
          <w:lang w:val="en-GB"/>
        </w:rPr>
      </w:pPr>
    </w:p>
    <w:p w:rsidR="006277BC" w:rsidRPr="006277BC" w:rsidRDefault="006277BC" w:rsidP="006277BC">
      <w:pPr>
        <w:rPr>
          <w:rFonts w:eastAsia="Arial" w:cstheme="minorHAnsi"/>
          <w:b/>
          <w:lang w:val="en-GB"/>
        </w:rPr>
      </w:pPr>
      <w:r w:rsidRPr="006277BC">
        <w:rPr>
          <w:rFonts w:eastAsia="Arial" w:cstheme="minorHAnsi"/>
          <w:b/>
          <w:lang w:val="en-GB"/>
        </w:rPr>
        <w:t xml:space="preserve">Teaching Methods/Approaches      </w:t>
      </w:r>
    </w:p>
    <w:p w:rsidR="006277BC" w:rsidRPr="006277BC" w:rsidRDefault="006277BC" w:rsidP="006277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 xml:space="preserve">Teacher presentation and demonstration </w:t>
      </w:r>
    </w:p>
    <w:p w:rsidR="006277BC" w:rsidRPr="006277BC" w:rsidRDefault="006277BC" w:rsidP="006277B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6277BC">
        <w:rPr>
          <w:rFonts w:asciiTheme="minorHAnsi" w:hAnsiTheme="minorHAnsi" w:cstheme="minorHAnsi"/>
          <w:color w:val="000000"/>
          <w:sz w:val="22"/>
          <w:szCs w:val="22"/>
        </w:rPr>
        <w:t>Discussion</w:t>
      </w:r>
      <w:bookmarkStart w:id="1" w:name="_GoBack"/>
      <w:bookmarkEnd w:id="1"/>
    </w:p>
    <w:p w:rsidR="006277BC" w:rsidRPr="006277BC" w:rsidRDefault="006277BC" w:rsidP="006277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 xml:space="preserve">Individual activity </w:t>
      </w:r>
    </w:p>
    <w:p w:rsidR="006277BC" w:rsidRPr="006277BC" w:rsidRDefault="006277BC" w:rsidP="006277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>Group activity - collaboration</w:t>
      </w:r>
    </w:p>
    <w:p w:rsidR="006277BC" w:rsidRPr="006277BC" w:rsidRDefault="006277BC" w:rsidP="006277BC">
      <w:pPr>
        <w:rPr>
          <w:rFonts w:eastAsia="Arial" w:cstheme="minorHAnsi"/>
          <w:b/>
          <w:lang w:val="en-GB"/>
        </w:rPr>
      </w:pPr>
    </w:p>
    <w:p w:rsidR="006277BC" w:rsidRPr="006277BC" w:rsidRDefault="006277BC" w:rsidP="006277BC">
      <w:pPr>
        <w:rPr>
          <w:rFonts w:cstheme="minorHAnsi"/>
          <w:lang w:val="en-GB"/>
        </w:rPr>
      </w:pPr>
      <w:r w:rsidRPr="006277BC">
        <w:rPr>
          <w:rFonts w:eastAsia="Arial" w:cstheme="minorHAnsi"/>
          <w:b/>
          <w:lang w:val="en-GB"/>
        </w:rPr>
        <w:t>Sources of training materials</w:t>
      </w:r>
    </w:p>
    <w:p w:rsidR="006277BC" w:rsidRPr="006277BC" w:rsidRDefault="006277BC" w:rsidP="006277BC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 xml:space="preserve">Digital competence, </w:t>
      </w:r>
      <w:proofErr w:type="spellStart"/>
      <w:r w:rsidRPr="006277BC">
        <w:rPr>
          <w:rFonts w:cstheme="minorHAnsi"/>
          <w:lang w:val="en-GB"/>
        </w:rPr>
        <w:t>Europass</w:t>
      </w:r>
      <w:proofErr w:type="spellEnd"/>
      <w:r w:rsidRPr="006277BC">
        <w:rPr>
          <w:rFonts w:cstheme="minorHAnsi"/>
          <w:lang w:val="en-GB"/>
        </w:rPr>
        <w:t xml:space="preserve">: </w:t>
      </w:r>
      <w:hyperlink r:id="rId7" w:history="1">
        <w:r w:rsidRPr="006277BC">
          <w:rPr>
            <w:rStyle w:val="Hyperlink"/>
            <w:rFonts w:cstheme="minorHAnsi"/>
            <w:lang w:val="en-GB"/>
          </w:rPr>
          <w:t>https://europass.cedefop.europa.eu/resources/digital-competences</w:t>
        </w:r>
      </w:hyperlink>
      <w:r w:rsidRPr="006277BC">
        <w:rPr>
          <w:rFonts w:cstheme="minorHAnsi"/>
          <w:lang w:val="en-GB"/>
        </w:rPr>
        <w:t xml:space="preserve"> </w:t>
      </w:r>
      <w:r w:rsidRPr="006277BC">
        <w:rPr>
          <w:rFonts w:cstheme="minorHAnsi"/>
          <w:color w:val="000000" w:themeColor="text1"/>
          <w:lang w:val="en-GB"/>
        </w:rPr>
        <w:t>(14.6.2019.)</w:t>
      </w:r>
    </w:p>
    <w:p w:rsidR="006277BC" w:rsidRPr="006277BC" w:rsidRDefault="006277BC" w:rsidP="006277BC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 xml:space="preserve">Production of Creative Game Based Learning Scenarios – A handbook for teachers, </w:t>
      </w:r>
      <w:proofErr w:type="spellStart"/>
      <w:r w:rsidRPr="006277BC">
        <w:rPr>
          <w:rFonts w:cstheme="minorHAnsi"/>
          <w:lang w:val="en-GB"/>
        </w:rPr>
        <w:t>ProActiveEU</w:t>
      </w:r>
      <w:proofErr w:type="spellEnd"/>
      <w:r w:rsidRPr="006277BC">
        <w:rPr>
          <w:rFonts w:cstheme="minorHAnsi"/>
          <w:lang w:val="en-GB"/>
        </w:rPr>
        <w:t xml:space="preserve"> Life-Long Learning project: </w:t>
      </w:r>
      <w:hyperlink r:id="rId8" w:history="1">
        <w:r w:rsidRPr="006277BC">
          <w:rPr>
            <w:rStyle w:val="Hyperlink"/>
            <w:rFonts w:cstheme="minorHAnsi"/>
            <w:lang w:val="en-GB"/>
          </w:rPr>
          <w:t>http://www.ub.edu/euelearning/proactive/documents/handbook_creative_gbl.pdf</w:t>
        </w:r>
      </w:hyperlink>
      <w:r w:rsidRPr="006277BC">
        <w:rPr>
          <w:rFonts w:cstheme="minorHAnsi"/>
          <w:lang w:val="en-GB"/>
        </w:rPr>
        <w:t xml:space="preserve">  (21.8.2018.)</w:t>
      </w:r>
    </w:p>
    <w:p w:rsidR="006277BC" w:rsidRPr="006277BC" w:rsidRDefault="006277BC" w:rsidP="006277BC">
      <w:pPr>
        <w:rPr>
          <w:rFonts w:cstheme="minorHAnsi"/>
          <w:color w:val="0563C1"/>
          <w:u w:val="single"/>
          <w:lang w:val="en-GB"/>
        </w:rPr>
      </w:pPr>
    </w:p>
    <w:p w:rsidR="006277BC" w:rsidRPr="006277BC" w:rsidRDefault="006277BC" w:rsidP="006277BC">
      <w:pPr>
        <w:rPr>
          <w:rFonts w:eastAsia="Arial" w:cstheme="minorHAnsi"/>
          <w:b/>
          <w:lang w:val="en-GB"/>
        </w:rPr>
      </w:pPr>
      <w:r w:rsidRPr="006277BC">
        <w:rPr>
          <w:rFonts w:eastAsia="Arial" w:cstheme="minorHAnsi"/>
          <w:b/>
          <w:lang w:val="en-GB"/>
        </w:rPr>
        <w:t xml:space="preserve">Duration: </w:t>
      </w:r>
      <w:r w:rsidRPr="006277BC">
        <w:rPr>
          <w:rFonts w:cstheme="minorHAnsi"/>
          <w:lang w:val="en-GB"/>
        </w:rPr>
        <w:t>3 hours (135 minutes)</w:t>
      </w:r>
    </w:p>
    <w:p w:rsidR="006277BC" w:rsidRPr="006277BC" w:rsidRDefault="006277BC" w:rsidP="006277BC">
      <w:pPr>
        <w:rPr>
          <w:rFonts w:cstheme="minorHAnsi"/>
          <w:color w:val="0563C1"/>
          <w:u w:val="single"/>
          <w:lang w:val="en-GB"/>
        </w:rPr>
      </w:pPr>
    </w:p>
    <w:p w:rsidR="006277BC" w:rsidRPr="006277BC" w:rsidRDefault="006277BC" w:rsidP="006277BC">
      <w:pPr>
        <w:rPr>
          <w:rFonts w:cstheme="minorHAnsi"/>
          <w:color w:val="0563C1"/>
          <w:u w:val="single"/>
          <w:lang w:val="en-GB"/>
        </w:rPr>
      </w:pPr>
    </w:p>
    <w:p w:rsidR="006277BC" w:rsidRPr="006277BC" w:rsidRDefault="006277BC" w:rsidP="006277BC">
      <w:pPr>
        <w:rPr>
          <w:rFonts w:cstheme="minorHAnsi"/>
          <w:color w:val="0563C1"/>
          <w:u w:val="single"/>
          <w:lang w:val="en-GB"/>
        </w:rPr>
      </w:pPr>
    </w:p>
    <w:p w:rsidR="006277BC" w:rsidRPr="006277BC" w:rsidRDefault="006277BC" w:rsidP="006277BC">
      <w:pPr>
        <w:rPr>
          <w:rFonts w:cstheme="minorHAnsi"/>
          <w:color w:val="0563C1"/>
          <w:u w:val="single"/>
          <w:lang w:val="en-GB"/>
        </w:rPr>
      </w:pPr>
    </w:p>
    <w:p w:rsidR="006277BC" w:rsidRPr="006277BC" w:rsidRDefault="006277BC" w:rsidP="006277BC">
      <w:pPr>
        <w:rPr>
          <w:rFonts w:cs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024"/>
        <w:gridCol w:w="4895"/>
        <w:gridCol w:w="4075"/>
      </w:tblGrid>
      <w:tr w:rsidR="006277BC" w:rsidRPr="006277BC" w:rsidTr="00583692">
        <w:trPr>
          <w:trHeight w:val="832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277BC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277BC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6277BC" w:rsidRPr="006277BC" w:rsidRDefault="006277BC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6277BC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6277BC" w:rsidRPr="006277BC" w:rsidTr="00583692">
        <w:trPr>
          <w:trHeight w:val="1280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b/>
                <w:lang w:val="en-GB"/>
              </w:rPr>
            </w:pPr>
            <w:r w:rsidRPr="006277BC">
              <w:rPr>
                <w:rFonts w:cstheme="minorHAnsi"/>
                <w:b/>
                <w:lang w:val="en-GB"/>
              </w:rPr>
              <w:t xml:space="preserve">1. DIGITAL TOOLS WITHIN THE PROCESS OF PROBLEM-SOLVING 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i/>
                <w:lang w:val="en-GB"/>
              </w:rPr>
            </w:pPr>
            <w:r w:rsidRPr="006277BC">
              <w:rPr>
                <w:rFonts w:cstheme="minorHAnsi"/>
                <w:i/>
                <w:lang w:val="en-GB"/>
              </w:rPr>
              <w:t>Participants will recognise the process of problem-solving.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6277BC" w:rsidRPr="006277BC" w:rsidRDefault="006277BC" w:rsidP="00583692">
            <w:pPr>
              <w:contextualSpacing/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Learners explore and analyse examples of problem-solving techniques in order to point out typical characteristics of logical reasoning.</w:t>
            </w:r>
          </w:p>
          <w:p w:rsidR="006277BC" w:rsidRPr="006277BC" w:rsidRDefault="006277BC" w:rsidP="00583692">
            <w:pPr>
              <w:ind w:left="360"/>
              <w:contextualSpacing/>
              <w:rPr>
                <w:rFonts w:cstheme="minorHAnsi"/>
                <w:lang w:val="en-GB"/>
              </w:rPr>
            </w:pPr>
          </w:p>
        </w:tc>
      </w:tr>
      <w:tr w:rsidR="006277BC" w:rsidRPr="006277BC" w:rsidTr="00583692">
        <w:trPr>
          <w:trHeight w:val="940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 xml:space="preserve">1.1 Introduction to problem-solving 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Identify the concepts of: Analytical ability, Creative Thinking, Initiative, Logical Reasoning</w:t>
            </w: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6277BC" w:rsidRPr="006277BC" w:rsidRDefault="006277BC" w:rsidP="00583692">
            <w:pPr>
              <w:widowControl w:val="0"/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277BC" w:rsidRPr="006277BC" w:rsidTr="00583692">
        <w:trPr>
          <w:trHeight w:val="720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 xml:space="preserve">1.2 Developing problem-solving skills 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 xml:space="preserve">Understand the role of analytical and creative skills in the process of problem-solving </w:t>
            </w: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6277BC" w:rsidRPr="006277BC" w:rsidRDefault="006277BC" w:rsidP="00583692">
            <w:pPr>
              <w:widowControl w:val="0"/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277BC" w:rsidRPr="006277BC" w:rsidTr="00583692">
        <w:trPr>
          <w:trHeight w:val="1240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ind w:right="-601"/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1.3 Problem-solving within games and puzzles</w:t>
            </w:r>
          </w:p>
          <w:p w:rsidR="006277BC" w:rsidRPr="006277BC" w:rsidRDefault="006277BC" w:rsidP="00583692">
            <w:pPr>
              <w:ind w:right="-601"/>
              <w:rPr>
                <w:rFonts w:cstheme="minorHAnsi"/>
                <w:lang w:val="en-GB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 xml:space="preserve">Explore the logical features in serious games </w:t>
            </w: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6277BC" w:rsidRPr="006277BC" w:rsidRDefault="006277BC" w:rsidP="00583692">
            <w:pPr>
              <w:widowControl w:val="0"/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277BC" w:rsidRPr="006277BC" w:rsidTr="00583692">
        <w:trPr>
          <w:trHeight w:val="1019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6277BC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Style w:val="Strong"/>
                <w:rFonts w:cstheme="minorHAnsi"/>
                <w:lang w:val="en-GB"/>
              </w:rPr>
            </w:pPr>
            <w:r w:rsidRPr="006277BC">
              <w:rPr>
                <w:rStyle w:val="Strong"/>
                <w:rFonts w:cstheme="minorHAnsi"/>
                <w:lang w:val="en-GB"/>
              </w:rPr>
              <w:t>ROLE-PLAYING METHODOLOGY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i/>
                <w:lang w:val="en-GB"/>
              </w:rPr>
            </w:pPr>
            <w:r w:rsidRPr="006277BC">
              <w:rPr>
                <w:rFonts w:cstheme="minorHAnsi"/>
                <w:i/>
                <w:lang w:val="en-GB"/>
              </w:rPr>
              <w:t xml:space="preserve">Participants will recognise the methodology of role-playing in serious games. 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6277BC" w:rsidRPr="006277BC" w:rsidRDefault="006277BC" w:rsidP="00583692">
            <w:pPr>
              <w:contextualSpacing/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Learners explore and analyse examples of role-playing and knowledge gathering to understand the practice of solving tasks by the active participation of the students in the class and online (work in groups).</w:t>
            </w:r>
          </w:p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</w:p>
        </w:tc>
      </w:tr>
      <w:tr w:rsidR="006277BC" w:rsidRPr="006277BC" w:rsidTr="00583692">
        <w:trPr>
          <w:trHeight w:val="1220"/>
        </w:trPr>
        <w:tc>
          <w:tcPr>
            <w:tcW w:w="1795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2.1 Developing the skills for mutual collaboration accepting different responsibilities (roles) participating in games that support algorithmic thinking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 xml:space="preserve">Introducing the power of simulation of playing various complementary roles focused on problem- solving and their implementation </w:t>
            </w:r>
          </w:p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  <w:r w:rsidRPr="006277BC">
              <w:rPr>
                <w:rFonts w:cstheme="minorHAnsi"/>
                <w:lang w:val="en-GB"/>
              </w:rPr>
              <w:t>Implementing various in-class role-playing scenarios</w:t>
            </w: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6277BC" w:rsidRPr="006277BC" w:rsidRDefault="006277BC" w:rsidP="00583692">
            <w:pPr>
              <w:rPr>
                <w:rFonts w:cstheme="minorHAnsi"/>
                <w:lang w:val="en-GB"/>
              </w:rPr>
            </w:pPr>
          </w:p>
        </w:tc>
      </w:tr>
    </w:tbl>
    <w:p w:rsidR="006277BC" w:rsidRPr="006277BC" w:rsidRDefault="006277BC" w:rsidP="006277BC">
      <w:pPr>
        <w:rPr>
          <w:rFonts w:cstheme="minorHAnsi"/>
          <w:lang w:val="en-GB"/>
        </w:rPr>
      </w:pPr>
    </w:p>
    <w:p w:rsidR="00805271" w:rsidRPr="006277BC" w:rsidRDefault="006277BC" w:rsidP="006277BC">
      <w:pPr>
        <w:tabs>
          <w:tab w:val="left" w:pos="3680"/>
        </w:tabs>
        <w:rPr>
          <w:rFonts w:cstheme="minorHAnsi"/>
          <w:lang w:val="en-GB"/>
        </w:rPr>
      </w:pPr>
      <w:r w:rsidRPr="006277BC">
        <w:rPr>
          <w:rFonts w:cstheme="minorHAnsi"/>
          <w:lang w:val="en-GB"/>
        </w:rPr>
        <w:tab/>
      </w:r>
    </w:p>
    <w:sectPr w:rsidR="00805271" w:rsidRPr="006277BC" w:rsidSect="004458A1">
      <w:headerReference w:type="default" r:id="rId9"/>
      <w:footerReference w:type="default" r:id="rId10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17" w:rsidRDefault="00FF5D17" w:rsidP="00172348">
      <w:pPr>
        <w:spacing w:after="0"/>
      </w:pPr>
      <w:r>
        <w:separator/>
      </w:r>
    </w:p>
  </w:endnote>
  <w:endnote w:type="continuationSeparator" w:id="0">
    <w:p w:rsidR="00FF5D17" w:rsidRDefault="00FF5D17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</w:t>
    </w:r>
    <w:r w:rsidR="006277BC">
      <w:rPr>
        <w:b/>
        <w:sz w:val="16"/>
        <w:szCs w:val="16"/>
        <w:lang w:val="en-GB"/>
      </w:rPr>
      <w:t>2</w:t>
    </w:r>
    <w:r w:rsidR="001165EE" w:rsidRPr="00805271">
      <w:rPr>
        <w:b/>
        <w:sz w:val="16"/>
        <w:szCs w:val="16"/>
        <w:lang w:val="en-GB"/>
      </w:rPr>
      <w:t xml:space="preserve"> - Session </w:t>
    </w:r>
    <w:r w:rsidR="006277BC">
      <w:rPr>
        <w:b/>
        <w:sz w:val="16"/>
        <w:szCs w:val="16"/>
        <w:lang w:val="en-GB"/>
      </w:rPr>
      <w:t>2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6277BC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6277BC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17" w:rsidRDefault="00FF5D17" w:rsidP="00172348">
      <w:pPr>
        <w:spacing w:after="0"/>
      </w:pPr>
      <w:r>
        <w:separator/>
      </w:r>
    </w:p>
  </w:footnote>
  <w:footnote w:type="continuationSeparator" w:id="0">
    <w:p w:rsidR="00FF5D17" w:rsidRDefault="00FF5D17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6A6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478"/>
    <w:multiLevelType w:val="multilevel"/>
    <w:tmpl w:val="AD9CC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641CF"/>
    <w:multiLevelType w:val="multilevel"/>
    <w:tmpl w:val="AD9CC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B21"/>
    <w:multiLevelType w:val="multilevel"/>
    <w:tmpl w:val="3E302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458A1"/>
    <w:rsid w:val="0048530F"/>
    <w:rsid w:val="004F1910"/>
    <w:rsid w:val="006277BC"/>
    <w:rsid w:val="00760AC9"/>
    <w:rsid w:val="00805271"/>
    <w:rsid w:val="008B4825"/>
    <w:rsid w:val="00BE7549"/>
    <w:rsid w:val="00CA4A7A"/>
    <w:rsid w:val="00DB42B9"/>
    <w:rsid w:val="00DC6A13"/>
    <w:rsid w:val="00E74ADF"/>
    <w:rsid w:val="00EF24F7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F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6277BC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6277BC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277BC"/>
    <w:rPr>
      <w:b/>
      <w:bCs/>
    </w:rPr>
  </w:style>
  <w:style w:type="paragraph" w:customStyle="1" w:styleId="Normal1">
    <w:name w:val="Normal1"/>
    <w:rsid w:val="006277BC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aslov2">
    <w:name w:val="Naslov 2"/>
    <w:basedOn w:val="Normal"/>
    <w:link w:val="Naslov2Char"/>
    <w:qFormat/>
    <w:rsid w:val="006277BC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6277BC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euelearning/proactive/documents/handbook_creative_gb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digital-compete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2019-11-10T07:18:00Z</dcterms:modified>
</cp:coreProperties>
</file>